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0" w:rsidRDefault="00B47260" w:rsidP="003C3120">
      <w:pPr>
        <w:spacing w:line="360" w:lineRule="auto"/>
        <w:rPr>
          <w:rFonts w:ascii="Verdana" w:hAnsi="Verdana"/>
          <w:szCs w:val="18"/>
        </w:rPr>
      </w:pPr>
    </w:p>
    <w:p w:rsidR="00304E55" w:rsidRDefault="00304E55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Anno 201</w:t>
      </w:r>
      <w:r w:rsidR="00D34CC6">
        <w:rPr>
          <w:rFonts w:ascii="Verdana" w:hAnsi="Verdana"/>
          <w:szCs w:val="18"/>
        </w:rPr>
        <w:t>8/2019</w:t>
      </w:r>
    </w:p>
    <w:p w:rsidR="003C3120" w:rsidRDefault="003C3120" w:rsidP="003C3120">
      <w:pPr>
        <w:spacing w:line="360" w:lineRule="auto"/>
        <w:rPr>
          <w:rFonts w:ascii="Verdana" w:hAnsi="Verdana"/>
          <w:szCs w:val="18"/>
        </w:rPr>
      </w:pPr>
      <w:r w:rsidRPr="009E0EAB">
        <w:rPr>
          <w:rFonts w:ascii="Verdana" w:hAnsi="Verdana"/>
          <w:szCs w:val="18"/>
        </w:rPr>
        <w:t xml:space="preserve">DOCENTE </w:t>
      </w:r>
      <w:r w:rsidR="00943ACD">
        <w:rPr>
          <w:rFonts w:ascii="Verdana" w:hAnsi="Verdana"/>
          <w:szCs w:val="18"/>
        </w:rPr>
        <w:t xml:space="preserve"> Massimo Zamataro</w:t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Pr="009E0EAB">
        <w:rPr>
          <w:rFonts w:ascii="Verdana" w:hAnsi="Verdana"/>
          <w:szCs w:val="18"/>
        </w:rPr>
        <w:t xml:space="preserve">DISCIPLINA </w:t>
      </w:r>
      <w:r w:rsidR="008349DA">
        <w:rPr>
          <w:rFonts w:ascii="Verdana" w:hAnsi="Verdana"/>
          <w:szCs w:val="18"/>
        </w:rPr>
        <w:t xml:space="preserve"> </w:t>
      </w:r>
      <w:r w:rsidR="006956CB">
        <w:rPr>
          <w:rFonts w:ascii="Verdana" w:hAnsi="Verdana"/>
          <w:szCs w:val="18"/>
        </w:rPr>
        <w:t>Storia</w:t>
      </w:r>
    </w:p>
    <w:p w:rsidR="00C766B4" w:rsidRDefault="00D34CC6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Classe </w:t>
      </w:r>
      <w:r w:rsidR="00D206E2">
        <w:rPr>
          <w:rFonts w:ascii="Verdana" w:hAnsi="Verdana"/>
          <w:szCs w:val="18"/>
        </w:rPr>
        <w:t>IA</w:t>
      </w:r>
      <w:r w:rsidR="00C766B4">
        <w:rPr>
          <w:rFonts w:ascii="Verdana" w:hAnsi="Verdana"/>
          <w:szCs w:val="18"/>
        </w:rPr>
        <w:tab/>
        <w:t>Programmi svolti</w:t>
      </w:r>
    </w:p>
    <w:p w:rsidR="001C3337" w:rsidRDefault="001C3337" w:rsidP="003C3120">
      <w:pPr>
        <w:spacing w:line="360" w:lineRule="auto"/>
        <w:rPr>
          <w:rFonts w:ascii="Verdana" w:hAnsi="Verdana"/>
          <w:szCs w:val="18"/>
        </w:rPr>
      </w:pPr>
    </w:p>
    <w:p w:rsidR="000D3903" w:rsidRDefault="000D3903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1: l’origine della civiltà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Gli antenati dell’uomo (14-15): La vita sulla Terra – Comincia il cammino dell’uomo – L’Homo erectus – L’homo sapiens e l’uomo moderno.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civiltà della Mesopotamia (Sintesi, 61)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Un grande regno lungo il fiume Nilo (66-67): Una civiltà con più di tremila anni di storia – Le origini della civiltà egizia – L’unificazione e le trentuno dinastie di sovrani.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Dal periodo predi nastico al Medio Regno (68-69): L’Egitto predi nastico e la monarchia tinita – L’Antico Regno – Il Medio Regno – La crisi dello stato egizio.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Lo splendore del Nuovo Regno (70-71): Nuovi equilibri nel Vicino Oriente – L’epoca delle grandi campagne militari e dell’eresia di Akhenaton – Ramesse II e la battaglia di Kadesh – La perdita dell’indipendenza.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religione degli egizi (72-73): Molte divinità per mantenere unito il regno – Le divinità solari: Amon, Ra, Aton e Horus – Il culto dei morti – Il mito di Osiride.</w:t>
      </w:r>
    </w:p>
    <w:p w:rsidR="000D3903" w:rsidRDefault="000D3903" w:rsidP="000D3903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divinità del faraone (74-75): Controllare la natura – Lo Stato teocratico – Il faraone e le forze della natura – L’importanza delle piramidi.</w:t>
      </w:r>
    </w:p>
    <w:p w:rsidR="000D3903" w:rsidRDefault="000D3903" w:rsidP="008F19A2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Lo Stato e le gerarchie sociali (78-79): Sacerdoti, scribi e militati – La burocrazia – I gradini più bassi della scala sociale – La difesa dei privilegi.</w:t>
      </w:r>
    </w:p>
    <w:p w:rsidR="00711645" w:rsidRDefault="00711645" w:rsidP="00711645">
      <w:pPr>
        <w:spacing w:line="360" w:lineRule="auto"/>
        <w:rPr>
          <w:rFonts w:ascii="Verdana" w:hAnsi="Verdana"/>
          <w:szCs w:val="18"/>
        </w:rPr>
      </w:pPr>
    </w:p>
    <w:p w:rsidR="00711645" w:rsidRDefault="00711645" w:rsidP="00711645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2: Ebrei e origine della civiltà greca</w:t>
      </w:r>
    </w:p>
    <w:p w:rsidR="00711645" w:rsidRDefault="00711645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Gli Ebrei e la Bibbia (88-89): Piccoli Stati tra grandi imperi – Le vicende del popolo ebraico – Le testimonianze archeologiche.</w:t>
      </w:r>
    </w:p>
    <w:p w:rsidR="00711645" w:rsidRDefault="00711645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Gli Ebrei, dal nomadismo alla monarchia (90-91): La Bibbia e le origini del popolo ebraico – L’organizzazione originaria della società ebraica – La permanenza in Egitto e l’Esodo – L’istituzione della monarchia.</w:t>
      </w:r>
    </w:p>
    <w:p w:rsidR="00711645" w:rsidRDefault="00711645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Dalla monarchia alla diaspora (92-93): Il Regno di David: Gerusalemme diventa capitale – Il Regno di Salomone: la costruzione del Tempio – La divisione del Regno – Le dominazioni straniere e la diaspora.</w:t>
      </w:r>
    </w:p>
    <w:p w:rsidR="00743BC2" w:rsidRPr="00743BC2" w:rsidRDefault="00711645" w:rsidP="00743BC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prime civiltà dell’Egeo: le Cicladi e Creta (112-113): Piccole isole dalla grande storia: le Cicladi – Pastorizia, pesca e commercio: le basi dell’economia – A Creta si afferma la civiltà minoica – Una scrittura da decifrare e una civi</w:t>
      </w:r>
      <w:r w:rsidR="00CE5223">
        <w:rPr>
          <w:rFonts w:ascii="Verdana" w:hAnsi="Verdana"/>
          <w:szCs w:val="18"/>
        </w:rPr>
        <w:t>ltà ancora in parte da scoprire – Minosse</w:t>
      </w:r>
      <w:r w:rsidR="00743BC2">
        <w:rPr>
          <w:rFonts w:ascii="Verdana" w:hAnsi="Verdana"/>
          <w:szCs w:val="18"/>
        </w:rPr>
        <w:t>.</w:t>
      </w:r>
    </w:p>
    <w:p w:rsidR="00711645" w:rsidRDefault="00CE5223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lastRenderedPageBreak/>
        <w:t>Creta: la civiltà che dominò il mare (114-115): Il palazzo: centro della vita economica, sociale e amministrativa – Una storia divisa in tre periodi – I Cretesi, dominatori del mare – Un’economia e un’agricoltura floride.</w:t>
      </w:r>
    </w:p>
    <w:p w:rsidR="00995810" w:rsidRDefault="00995810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vita nella Creta minoica (116-117): Una società pacifica, florida e raffinata – La donna: una particolare considerazione – Se la religione non è oppressiva – Perché la civiltà minoica scomparve?</w:t>
      </w:r>
    </w:p>
    <w:p w:rsidR="00995810" w:rsidRDefault="00995810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civiltà micenea tra storia e mito (118-119): I Micenei: le origine e la provenienza – Le testimonianze scritte: le tavolette in scrittura lineare B – Il racconto degli aedi: una testimonianza preziosa – Perché i poemi omerici hanno un valore storico.</w:t>
      </w:r>
    </w:p>
    <w:p w:rsidR="00995810" w:rsidRDefault="00995810" w:rsidP="00711645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origine della civiltà greca (Sintesi) (129): I Micenei – Il crollo della civiltà micenea – La prima colonizzazione e il Medioevo ellenico.</w:t>
      </w:r>
    </w:p>
    <w:p w:rsidR="00743BC2" w:rsidRDefault="00743BC2" w:rsidP="00743BC2">
      <w:pPr>
        <w:spacing w:line="360" w:lineRule="auto"/>
        <w:rPr>
          <w:rFonts w:ascii="Verdana" w:hAnsi="Verdana"/>
          <w:szCs w:val="18"/>
        </w:rPr>
      </w:pPr>
    </w:p>
    <w:p w:rsidR="00743BC2" w:rsidRDefault="00743BC2" w:rsidP="00743BC2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Modulo 3: Le poleis greche e le guerre </w:t>
      </w:r>
      <w:r w:rsidR="008116FB">
        <w:rPr>
          <w:rFonts w:ascii="Verdana" w:hAnsi="Verdana"/>
          <w:szCs w:val="18"/>
        </w:rPr>
        <w:t>greco-</w:t>
      </w:r>
      <w:r>
        <w:rPr>
          <w:rFonts w:ascii="Verdana" w:hAnsi="Verdana"/>
          <w:szCs w:val="18"/>
        </w:rPr>
        <w:t>persiane</w:t>
      </w:r>
    </w:p>
    <w:p w:rsidR="00743BC2" w:rsidRDefault="00743BC2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seconda colonizzazione greca (136-137): La seconda colonizzazione: le cause – Verso nuove terre – Nascono le colonie greche in Italia – Viene introdotta la moneta.</w:t>
      </w:r>
    </w:p>
    <w:p w:rsidR="00743BC2" w:rsidRDefault="00743BC2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mondo delle poleis (Sintesi, 155): La nascita delle poleis – Le divinità olimpiche – Gli oracoli, i santuari e i giochi sacri – Arte e filosofia.</w:t>
      </w:r>
    </w:p>
    <w:p w:rsidR="00743BC2" w:rsidRDefault="00743BC2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Atene e Sparta: due forme di governo diverse (Sintesi, 175): Sparta – Atene nell’età arcadica – La costituzione di Solone – La costituzione di Clistene.</w:t>
      </w:r>
    </w:p>
    <w:p w:rsidR="00743BC2" w:rsidRDefault="00743BC2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formazione dell’impero persiano (180-181): All’inizio erano i Medi – L’ascesa dei Persiani – Ciro, conquistatore inarrestabile – Ciro è un sovrano lungimirante e tollerante – Il breve regno di Cambise.</w:t>
      </w:r>
    </w:p>
    <w:p w:rsidR="00743BC2" w:rsidRDefault="008116FB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Dario e l’organizzazione dell’impero (182-183): Dario crea un impero universale – Dario, sovrano per volontà divina – L’attentissima organizzazione amministrativa – Come funzionava il sistema fiscale – L’esercito, le strade e il sistema economico.</w:t>
      </w:r>
    </w:p>
    <w:p w:rsidR="008116FB" w:rsidRDefault="008116FB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prima guerra greco-persiana (186-187): La rivolta di Mileto e la vittoria persiana – La guerra ha inizio – La battaglia e la vittoria di Maratona.</w:t>
      </w:r>
    </w:p>
    <w:p w:rsidR="008116FB" w:rsidRDefault="008116FB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seconda guerra greco-persiana (190-191): La spedizione di Serse – La divisione tra le poleis e la lega panellenica – Le città greche si preparano – La battaglia delle Termopili.</w:t>
      </w:r>
    </w:p>
    <w:p w:rsidR="008116FB" w:rsidRDefault="008116FB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Salamina e la vittoria dei Greci (192-193): Una battaglia sul mare: Salamina – Platea, la definitiva sconfitta dei Persiani – La Grecia dopo la guerra.</w:t>
      </w:r>
    </w:p>
    <w:p w:rsidR="008116FB" w:rsidRDefault="008116FB" w:rsidP="00743BC2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lotta per l’egemonia nel mondo greco (Sintesi, 225): L’egemonia di Sparta e Atene – L’Atene di Pericle – Le guerre del Peloponneso – La decadenza delle poleis.</w:t>
      </w:r>
    </w:p>
    <w:p w:rsidR="00BB7769" w:rsidRDefault="00BB7769" w:rsidP="00BB7769">
      <w:pPr>
        <w:spacing w:line="360" w:lineRule="auto"/>
        <w:rPr>
          <w:rFonts w:ascii="Verdana" w:hAnsi="Verdana"/>
          <w:szCs w:val="18"/>
        </w:rPr>
      </w:pPr>
    </w:p>
    <w:p w:rsidR="00BB7769" w:rsidRDefault="00BB7769" w:rsidP="00BB7769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4: Alessandro Magno e l’ellenismo.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 w:rsidRPr="00D84717">
        <w:rPr>
          <w:rFonts w:ascii="Verdana" w:hAnsi="Verdana"/>
          <w:szCs w:val="18"/>
        </w:rPr>
        <w:t>La Macedonia e Filippo II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lastRenderedPageBreak/>
        <w:t>L’ascesa della Macedonia (230)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imprese militari di Filippo II (230)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battaglia di Cheronea e la Lega di Corinto (230-231)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Filippo e la guerra contro i persiani (231)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Alessandro di Macedonia verso l’Oriente 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Alessandro sul trono di Macedonia (232)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spedizione in Oriente ha inizio (232)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prime vittorie contro l’esercito persiano (232-233)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Anche Palestina e Fenicia vengono conquistate (233)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L’Impero di Alessandro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L’Egitto e la sacralizzazione del potere (234)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Gaugamela i Persiani vengono definitivamente sconfitti (234)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Tolleranza e rispetto: la politica di Alessandro (235)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morte di Alessandro e i regni ellenistici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L’ultima spedizione (236)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L’impero si frantuma (236)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regno d’Egitto e i Tolomei (237)</w:t>
      </w:r>
    </w:p>
    <w:p w:rsidR="00BB7769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regno di Siria e i Seleucidi (237)</w:t>
      </w:r>
    </w:p>
    <w:p w:rsidR="00BB7769" w:rsidRPr="00D84717" w:rsidRDefault="00BB7769" w:rsidP="00BB7769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Macedonia e gli Antigonidi (237)</w:t>
      </w:r>
    </w:p>
    <w:p w:rsidR="00BB7769" w:rsidRPr="00BB7769" w:rsidRDefault="00BB7769" w:rsidP="00BB7769">
      <w:pPr>
        <w:spacing w:line="360" w:lineRule="auto"/>
        <w:rPr>
          <w:rFonts w:ascii="Verdana" w:hAnsi="Verdana"/>
          <w:szCs w:val="18"/>
        </w:rPr>
      </w:pPr>
    </w:p>
    <w:p w:rsidR="003E0529" w:rsidRPr="00B041C3" w:rsidRDefault="003E0529" w:rsidP="003E0529">
      <w:pPr>
        <w:pStyle w:val="Paragrafoelenco"/>
        <w:spacing w:line="360" w:lineRule="auto"/>
        <w:rPr>
          <w:rFonts w:ascii="Verdana" w:hAnsi="Verdana"/>
          <w:szCs w:val="18"/>
        </w:rPr>
      </w:pPr>
    </w:p>
    <w:p w:rsidR="00DF33D2" w:rsidRDefault="00DF33D2" w:rsidP="00DF33D2">
      <w:pPr>
        <w:spacing w:line="360" w:lineRule="auto"/>
        <w:rPr>
          <w:rFonts w:ascii="Verdana" w:hAnsi="Verdana"/>
          <w:szCs w:val="18"/>
        </w:rPr>
      </w:pPr>
    </w:p>
    <w:p w:rsidR="00DF33D2" w:rsidRPr="00DF33D2" w:rsidRDefault="00DF33D2" w:rsidP="00DF33D2">
      <w:pPr>
        <w:spacing w:line="360" w:lineRule="auto"/>
        <w:ind w:left="5664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Prof. Massimo Zamataro</w:t>
      </w:r>
    </w:p>
    <w:p w:rsidR="005851A1" w:rsidRPr="005851A1" w:rsidRDefault="005851A1" w:rsidP="005851A1">
      <w:pPr>
        <w:spacing w:line="360" w:lineRule="auto"/>
        <w:rPr>
          <w:rFonts w:ascii="Verdana" w:hAnsi="Verdana"/>
          <w:szCs w:val="18"/>
        </w:rPr>
      </w:pPr>
    </w:p>
    <w:p w:rsidR="003C3120" w:rsidRPr="009E0EAB" w:rsidRDefault="003C3120" w:rsidP="00C766B4">
      <w:pPr>
        <w:pStyle w:val="Elencoacolori-Colore11"/>
        <w:ind w:left="0"/>
        <w:rPr>
          <w:rFonts w:ascii="Verdana" w:hAnsi="Verdana"/>
          <w:sz w:val="12"/>
          <w:szCs w:val="18"/>
        </w:rPr>
      </w:pPr>
    </w:p>
    <w:sectPr w:rsidR="003C3120" w:rsidRPr="009E0EAB" w:rsidSect="003C3120">
      <w:headerReference w:type="default" r:id="rId8"/>
      <w:footerReference w:type="default" r:id="rId9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E5" w:rsidRDefault="00F349E5">
      <w:r>
        <w:separator/>
      </w:r>
    </w:p>
  </w:endnote>
  <w:endnote w:type="continuationSeparator" w:id="1">
    <w:p w:rsidR="00F349E5" w:rsidRDefault="00F3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E5" w:rsidRDefault="00F349E5">
      <w:r>
        <w:separator/>
      </w:r>
    </w:p>
  </w:footnote>
  <w:footnote w:type="continuationSeparator" w:id="1">
    <w:p w:rsidR="00F349E5" w:rsidRDefault="00F3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6D277D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6D277D">
            <w:rPr>
              <w:sz w:val="17"/>
            </w:rPr>
            <w:fldChar w:fldCharType="separate"/>
          </w:r>
          <w:r w:rsidR="00BB7769">
            <w:rPr>
              <w:noProof/>
              <w:sz w:val="17"/>
            </w:rPr>
            <w:t>3</w:t>
          </w:r>
          <w:r w:rsidR="006D277D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6D277D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6D277D">
            <w:rPr>
              <w:sz w:val="17"/>
            </w:rPr>
            <w:fldChar w:fldCharType="separate"/>
          </w:r>
          <w:r w:rsidR="00BB7769">
            <w:rPr>
              <w:noProof/>
              <w:sz w:val="17"/>
            </w:rPr>
            <w:t>3</w:t>
          </w:r>
          <w:r w:rsidR="006D277D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2C5"/>
    <w:multiLevelType w:val="hybridMultilevel"/>
    <w:tmpl w:val="D1A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32C"/>
    <w:multiLevelType w:val="hybridMultilevel"/>
    <w:tmpl w:val="756C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AEE"/>
    <w:multiLevelType w:val="hybridMultilevel"/>
    <w:tmpl w:val="6D3AB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094"/>
    <w:multiLevelType w:val="hybridMultilevel"/>
    <w:tmpl w:val="C120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092AF6"/>
    <w:multiLevelType w:val="hybridMultilevel"/>
    <w:tmpl w:val="CF04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77FBF"/>
    <w:multiLevelType w:val="hybridMultilevel"/>
    <w:tmpl w:val="3F3A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244C12"/>
    <w:multiLevelType w:val="hybridMultilevel"/>
    <w:tmpl w:val="07C45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525DD"/>
    <w:multiLevelType w:val="hybridMultilevel"/>
    <w:tmpl w:val="580C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E4063"/>
    <w:multiLevelType w:val="hybridMultilevel"/>
    <w:tmpl w:val="D244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7DA2"/>
    <w:multiLevelType w:val="hybridMultilevel"/>
    <w:tmpl w:val="F6B4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D3903"/>
    <w:rsid w:val="00113C2E"/>
    <w:rsid w:val="0014043D"/>
    <w:rsid w:val="00183C88"/>
    <w:rsid w:val="001913B8"/>
    <w:rsid w:val="00197FC5"/>
    <w:rsid w:val="001A006F"/>
    <w:rsid w:val="001C3337"/>
    <w:rsid w:val="001C4CE8"/>
    <w:rsid w:val="001E202E"/>
    <w:rsid w:val="001E2955"/>
    <w:rsid w:val="001E31FD"/>
    <w:rsid w:val="002206D0"/>
    <w:rsid w:val="0024405A"/>
    <w:rsid w:val="00251E82"/>
    <w:rsid w:val="002661BE"/>
    <w:rsid w:val="002B7366"/>
    <w:rsid w:val="002C51AF"/>
    <w:rsid w:val="00304E55"/>
    <w:rsid w:val="00346A53"/>
    <w:rsid w:val="003B1542"/>
    <w:rsid w:val="003C3120"/>
    <w:rsid w:val="003E0529"/>
    <w:rsid w:val="00423C63"/>
    <w:rsid w:val="00446878"/>
    <w:rsid w:val="00455463"/>
    <w:rsid w:val="0046319B"/>
    <w:rsid w:val="004772C6"/>
    <w:rsid w:val="00493A6B"/>
    <w:rsid w:val="00497C46"/>
    <w:rsid w:val="0050090E"/>
    <w:rsid w:val="00501EF1"/>
    <w:rsid w:val="005211FB"/>
    <w:rsid w:val="00550FBB"/>
    <w:rsid w:val="005851A1"/>
    <w:rsid w:val="0060744B"/>
    <w:rsid w:val="00616577"/>
    <w:rsid w:val="00643E70"/>
    <w:rsid w:val="006956CB"/>
    <w:rsid w:val="006C6F59"/>
    <w:rsid w:val="006D277D"/>
    <w:rsid w:val="006E390B"/>
    <w:rsid w:val="007042E3"/>
    <w:rsid w:val="00711645"/>
    <w:rsid w:val="007311A4"/>
    <w:rsid w:val="00743BC2"/>
    <w:rsid w:val="007A79D2"/>
    <w:rsid w:val="007B07A6"/>
    <w:rsid w:val="007E4F21"/>
    <w:rsid w:val="008116FB"/>
    <w:rsid w:val="008349DA"/>
    <w:rsid w:val="00886B29"/>
    <w:rsid w:val="008F19A2"/>
    <w:rsid w:val="00943ACD"/>
    <w:rsid w:val="0097402D"/>
    <w:rsid w:val="00995810"/>
    <w:rsid w:val="009979F3"/>
    <w:rsid w:val="009F4D7B"/>
    <w:rsid w:val="00A134C9"/>
    <w:rsid w:val="00A1605E"/>
    <w:rsid w:val="00A80845"/>
    <w:rsid w:val="00A94D27"/>
    <w:rsid w:val="00B041C3"/>
    <w:rsid w:val="00B30519"/>
    <w:rsid w:val="00B47260"/>
    <w:rsid w:val="00BA197A"/>
    <w:rsid w:val="00BB7769"/>
    <w:rsid w:val="00BD7D5F"/>
    <w:rsid w:val="00BE478D"/>
    <w:rsid w:val="00BF3305"/>
    <w:rsid w:val="00BF3AC5"/>
    <w:rsid w:val="00C5397B"/>
    <w:rsid w:val="00C70155"/>
    <w:rsid w:val="00C766B4"/>
    <w:rsid w:val="00C8633A"/>
    <w:rsid w:val="00CB0BB1"/>
    <w:rsid w:val="00CE5223"/>
    <w:rsid w:val="00D0595C"/>
    <w:rsid w:val="00D07B61"/>
    <w:rsid w:val="00D206E2"/>
    <w:rsid w:val="00D25F84"/>
    <w:rsid w:val="00D34CC6"/>
    <w:rsid w:val="00D40E3E"/>
    <w:rsid w:val="00DC0965"/>
    <w:rsid w:val="00DC5DB2"/>
    <w:rsid w:val="00DD116F"/>
    <w:rsid w:val="00DD5E00"/>
    <w:rsid w:val="00DD74C8"/>
    <w:rsid w:val="00DF33D2"/>
    <w:rsid w:val="00E13879"/>
    <w:rsid w:val="00E14563"/>
    <w:rsid w:val="00E21375"/>
    <w:rsid w:val="00E2171F"/>
    <w:rsid w:val="00E34494"/>
    <w:rsid w:val="00E44BA4"/>
    <w:rsid w:val="00E5416D"/>
    <w:rsid w:val="00E90670"/>
    <w:rsid w:val="00ED3584"/>
    <w:rsid w:val="00ED6929"/>
    <w:rsid w:val="00F143D3"/>
    <w:rsid w:val="00F21CE2"/>
    <w:rsid w:val="00F23376"/>
    <w:rsid w:val="00F349E5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F139-3830-435E-AF2D-5BFEE7B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5512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zamat</cp:lastModifiedBy>
  <cp:revision>8</cp:revision>
  <cp:lastPrinted>2014-03-05T13:21:00Z</cp:lastPrinted>
  <dcterms:created xsi:type="dcterms:W3CDTF">2018-09-28T17:02:00Z</dcterms:created>
  <dcterms:modified xsi:type="dcterms:W3CDTF">2019-05-15T16:03:00Z</dcterms:modified>
</cp:coreProperties>
</file>