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9E" w:rsidRP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DejaVuSans-Bold" w:hAnsi="DejaVuSans-Bold" w:cs="DejaVuSans-Bold"/>
          <w:b/>
          <w:bCs/>
          <w:i/>
          <w:color w:val="000000"/>
          <w:sz w:val="29"/>
          <w:szCs w:val="23"/>
        </w:rPr>
      </w:pPr>
      <w:r w:rsidRPr="0029619E">
        <w:rPr>
          <w:rFonts w:ascii="DejaVuSans-Bold" w:hAnsi="DejaVuSans-Bold" w:cs="DejaVuSans-Bold"/>
          <w:b/>
          <w:bCs/>
          <w:i/>
          <w:color w:val="000000"/>
          <w:sz w:val="29"/>
          <w:szCs w:val="23"/>
        </w:rPr>
        <w:t>Per gli studenti del quarto e quinto anno</w:t>
      </w:r>
    </w:p>
    <w:p w:rsidR="0029619E" w:rsidRPr="0029619E" w:rsidRDefault="008D33A9" w:rsidP="0029619E">
      <w:pPr>
        <w:autoSpaceDE w:val="0"/>
        <w:autoSpaceDN w:val="0"/>
        <w:adjustRightInd w:val="0"/>
        <w:spacing w:before="0" w:line="240" w:lineRule="auto"/>
        <w:ind w:left="0"/>
        <w:jc w:val="center"/>
        <w:rPr>
          <w:rFonts w:ascii="DejaVuSans-Bold" w:hAnsi="DejaVuSans-Bold" w:cs="DejaVuSans-Bold"/>
          <w:b/>
          <w:bCs/>
          <w:color w:val="000000"/>
          <w:sz w:val="29"/>
          <w:szCs w:val="23"/>
        </w:rPr>
      </w:pPr>
      <w:r>
        <w:rPr>
          <w:rFonts w:ascii="DejaVuSans-Bold" w:hAnsi="DejaVuSans-Bold" w:cs="DejaVuSans-Bold"/>
          <w:b/>
          <w:bCs/>
          <w:color w:val="000000"/>
          <w:sz w:val="29"/>
          <w:szCs w:val="23"/>
        </w:rPr>
        <w:t xml:space="preserve">Politecnico di Milano: </w:t>
      </w:r>
      <w:proofErr w:type="spellStart"/>
      <w:r w:rsidR="0029619E" w:rsidRPr="0029619E">
        <w:rPr>
          <w:rFonts w:ascii="DejaVuSans-Bold" w:hAnsi="DejaVuSans-Bold" w:cs="DejaVuSans-Bold"/>
          <w:b/>
          <w:bCs/>
          <w:color w:val="000000"/>
          <w:sz w:val="29"/>
          <w:szCs w:val="23"/>
        </w:rPr>
        <w:t>PoliCollege</w:t>
      </w:r>
      <w:proofErr w:type="spellEnd"/>
    </w:p>
    <w:p w:rsidR="008D33A9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proofErr w:type="spellStart"/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PoliCollege</w:t>
      </w:r>
      <w:proofErr w:type="spellEnd"/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è un progetto di orientamento attivo che si propone di fornire agli</w:t>
      </w:r>
      <w:r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studenti bravi e volenterosi delle scuole secondarie di II grado l’opportunità di</w:t>
      </w:r>
      <w:r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acquisire conoscenze tecnico-scientifiche avanzate seguendo corsi online tenuti</w:t>
      </w:r>
      <w:r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da docenti del Politecnico di Milano. Nella sessione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primaverile riproporremo </w:t>
      </w:r>
      <w:proofErr w:type="spellStart"/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PoliCollege</w:t>
      </w:r>
      <w:proofErr w:type="spellEnd"/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con nuovi corsi e altri 450 posti. Date le molte richieste, stiamo</w:t>
      </w:r>
      <w:r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ampliando e arricchendo la nostra offerta didattica, per accogliere un maggior numero di studenti.</w:t>
      </w:r>
      <w:r w:rsid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L’iniziativa coinvolge diversi Dipartimenti del Politecnico, per offrire agli studenti</w:t>
      </w:r>
      <w:r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una vasta gamma di discipline tra cui scegliere, dall’Ingegneria Aerospaziale alla</w:t>
      </w:r>
      <w:r w:rsid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Scienza dei Materiali, dai Modelli </w:t>
      </w:r>
      <w:r w:rsidR="00277BE5">
        <w:rPr>
          <w:rFonts w:ascii="DejaVuSans-Bold" w:hAnsi="DejaVuSans-Bold" w:cs="DejaVuSans-Bold"/>
          <w:bCs/>
          <w:color w:val="000000"/>
          <w:sz w:val="24"/>
          <w:szCs w:val="28"/>
        </w:rPr>
        <w:t>m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atematici al </w:t>
      </w:r>
      <w:proofErr w:type="spellStart"/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Food</w:t>
      </w:r>
      <w:proofErr w:type="spellEnd"/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proofErr w:type="spellStart"/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Engineering</w:t>
      </w:r>
      <w:proofErr w:type="spellEnd"/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. Alla</w:t>
      </w:r>
      <w:r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conclusione del percorso, gli studenti otterranno un attestato e un badge digitale</w:t>
      </w:r>
      <w:r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9619E">
        <w:rPr>
          <w:rFonts w:ascii="DejaVuSans-Bold" w:hAnsi="DejaVuSans-Bold" w:cs="DejaVuSans-Bold"/>
          <w:bCs/>
          <w:color w:val="000000"/>
          <w:sz w:val="24"/>
          <w:szCs w:val="28"/>
        </w:rPr>
        <w:t>da allegare al proprio curriculum.</w:t>
      </w:r>
      <w:r w:rsid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Oltre ad offrire agli studenti un “assaggio” anticipato di università,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proofErr w:type="spellStart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PoliCollege</w:t>
      </w:r>
      <w:proofErr w:type="spellEnd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rappresenta un’occasione di aggregazione,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orientamento e sperimentazione dell’e-learning. I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partecipanti saranno inseriti in una classe virtuale seguita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giornalmente da uno studente esperto del Politecnico, che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risponderà alle loro domande e li aiuterà a svolgere le attività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assegnate dal professore.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Date le circostanze attuali, crediamo sia importante continuare a sviluppare le</w:t>
      </w:r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potenzialità della didattica a distanza, sia per consolidare e diversificare le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competenze digitali degli studenti, sia per aiutare la scuola italiana ad affrontare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la sfida della riconversione tecnologica. Per questo, il Politecnico di Milano prova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a mettere a disposizione le sue risorse didattiche e creative, con</w:t>
      </w: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DejaVuSans-Bold" w:hAnsi="DejaVuSans-Bold" w:cs="DejaVuSans-Bold"/>
          <w:b/>
          <w:bCs/>
          <w:color w:val="0000EF"/>
          <w:sz w:val="23"/>
          <w:szCs w:val="23"/>
        </w:rPr>
        <w:t>PoliCollege</w:t>
      </w:r>
      <w:proofErr w:type="spellEnd"/>
      <w:r>
        <w:rPr>
          <w:rFonts w:ascii="DejaVuSans-Bold" w:hAnsi="DejaVuSans-Bold" w:cs="DejaVuSans-Bold"/>
          <w:b/>
          <w:bCs/>
          <w:color w:val="0000EF"/>
          <w:sz w:val="23"/>
          <w:szCs w:val="23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e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con altre iniziative specifiche riportate alla pagina</w:t>
      </w: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 xml:space="preserve"> </w:t>
      </w:r>
      <w:r>
        <w:rPr>
          <w:rFonts w:ascii="DejaVuSans-Bold" w:hAnsi="DejaVuSans-Bold" w:cs="DejaVuSans-Bold"/>
          <w:b/>
          <w:bCs/>
          <w:color w:val="0000EF"/>
          <w:sz w:val="23"/>
          <w:szCs w:val="23"/>
        </w:rPr>
        <w:t>POLIMI4SCHOOL</w:t>
      </w: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>.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proofErr w:type="spellStart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PoliCollege</w:t>
      </w:r>
      <w:proofErr w:type="spellEnd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si rivolge a studenti meritevoli e volenterosi di 4° e 5° superiore di qualsiasi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scuola secondaria.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Le iscrizioni alla selezione per la sessione primaverile sono aperte fino al 26 febbraio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2021.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La sessione primaverile comprende due edizioni distinte, che avranno luogo rispettivamente dal 12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aprile al 9 maggio 2021 (durata di 4 settimane) e dal 14 al 27 giugno 2021, (durata di 2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settimane). I corsi erogati nelle due edizioni sono gli stessi, ad eccezione del corso di </w:t>
      </w:r>
      <w:proofErr w:type="spellStart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Food</w:t>
      </w:r>
      <w:proofErr w:type="spellEnd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proofErr w:type="spellStart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Engineering</w:t>
      </w:r>
      <w:proofErr w:type="spellEnd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,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erogato soltanto a giugno.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L’edizione di aprile-maggio è rivolta a studenti di 4° e 5° superiore, mentre l’edizione di giugno è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riservata ai soli studenti di 4° superiore.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Il carico di lavoro complessivo per ciascun corso (studio individuale, </w:t>
      </w:r>
      <w:proofErr w:type="spellStart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videolezioni</w:t>
      </w:r>
      <w:proofErr w:type="spellEnd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, attività) si aggira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intorno alle 25 ore.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Gli studenti potranno dedicarsi al corso negli orari a loro più congeniali (tranne che nel caso delle lezioni</w:t>
      </w:r>
      <w:r w:rsidR="008D33A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in videoconferenza, fissate secondo la disponibilità dei professori).</w:t>
      </w:r>
    </w:p>
    <w:p w:rsidR="0029619E" w:rsidRPr="008D33A9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" w:hAnsi="DejaVuSans" w:cs="DejaVuSans"/>
          <w:color w:val="000000"/>
          <w:sz w:val="25"/>
          <w:szCs w:val="19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L’iscrizione avviene online, sul sito di </w:t>
      </w:r>
      <w:proofErr w:type="spellStart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PoliCollege</w:t>
      </w:r>
      <w:proofErr w:type="spellEnd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:</w:t>
      </w:r>
      <w:r>
        <w:rPr>
          <w:rFonts w:ascii="DejaVuSans" w:hAnsi="DejaVuSans" w:cs="DejaVuSans"/>
          <w:color w:val="000000"/>
          <w:sz w:val="19"/>
          <w:szCs w:val="19"/>
        </w:rPr>
        <w:t xml:space="preserve"> </w:t>
      </w:r>
      <w:r w:rsidRPr="008D33A9">
        <w:rPr>
          <w:rFonts w:ascii="DejaVuSans" w:hAnsi="DejaVuSans" w:cs="DejaVuSans"/>
          <w:color w:val="0000FF"/>
          <w:sz w:val="25"/>
          <w:szCs w:val="19"/>
        </w:rPr>
        <w:t>https://www.policollege.polimi.it</w:t>
      </w:r>
      <w:r w:rsidRPr="008D33A9">
        <w:rPr>
          <w:rFonts w:ascii="DejaVuSans" w:hAnsi="DejaVuSans" w:cs="DejaVuSans"/>
          <w:color w:val="000000"/>
          <w:sz w:val="25"/>
          <w:szCs w:val="19"/>
        </w:rPr>
        <w:t>.</w:t>
      </w:r>
    </w:p>
    <w:p w:rsidR="0029619E" w:rsidRPr="008D33A9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/>
          <w:bCs/>
          <w:color w:val="000000"/>
          <w:sz w:val="24"/>
          <w:szCs w:val="28"/>
        </w:rPr>
      </w:pPr>
      <w:r w:rsidRPr="008D33A9">
        <w:rPr>
          <w:rFonts w:ascii="DejaVuSans-Bold" w:hAnsi="DejaVuSans-Bold" w:cs="DejaVuSans-Bold"/>
          <w:b/>
          <w:bCs/>
          <w:color w:val="000000"/>
          <w:sz w:val="24"/>
          <w:szCs w:val="28"/>
        </w:rPr>
        <w:t>Per accedere alla selezione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gli studenti devono allegare alla loro candidatura una </w:t>
      </w:r>
      <w:r w:rsidRPr="008D33A9">
        <w:rPr>
          <w:rFonts w:ascii="DejaVuSans-Bold" w:hAnsi="DejaVuSans-Bold" w:cs="DejaVuSans-Bold"/>
          <w:b/>
          <w:bCs/>
          <w:color w:val="000000"/>
          <w:sz w:val="24"/>
          <w:szCs w:val="28"/>
        </w:rPr>
        <w:t>lettera di referenza</w:t>
      </w:r>
      <w:r w:rsidR="008D33A9">
        <w:rPr>
          <w:rFonts w:ascii="DejaVuSans-Bold" w:hAnsi="DejaVuSans-Bold" w:cs="DejaVuSans-Bold"/>
          <w:b/>
          <w:bCs/>
          <w:color w:val="000000"/>
          <w:sz w:val="24"/>
          <w:szCs w:val="28"/>
        </w:rPr>
        <w:t xml:space="preserve"> </w:t>
      </w:r>
      <w:r w:rsidRPr="008D33A9">
        <w:rPr>
          <w:rFonts w:ascii="DejaVuSans-Bold" w:hAnsi="DejaVuSans-Bold" w:cs="DejaVuSans-Bold"/>
          <w:b/>
          <w:bCs/>
          <w:color w:val="000000"/>
          <w:sz w:val="24"/>
          <w:szCs w:val="28"/>
        </w:rPr>
        <w:t>di un docente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, </w:t>
      </w:r>
      <w:r w:rsidRPr="008D33A9">
        <w:rPr>
          <w:rFonts w:ascii="DejaVuSans-Bold" w:hAnsi="DejaVuSans-Bold" w:cs="DejaVuSans-Bold"/>
          <w:b/>
          <w:bCs/>
          <w:color w:val="000000"/>
          <w:sz w:val="24"/>
          <w:szCs w:val="28"/>
        </w:rPr>
        <w:t>una lettera motivazionale e una copia dell'ultima scheda di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r w:rsidRPr="008D33A9">
        <w:rPr>
          <w:rFonts w:ascii="DejaVuSans-Bold" w:hAnsi="DejaVuSans-Bold" w:cs="DejaVuSans-Bold"/>
          <w:b/>
          <w:bCs/>
          <w:color w:val="000000"/>
          <w:sz w:val="24"/>
          <w:szCs w:val="28"/>
        </w:rPr>
        <w:t>valutazione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, indicando a quali corsi vorrebbero iscriversi (1° e 2° scelta).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La partecipazione ai corsi è gratuita. Durante il corrente anno scolastico è possibile</w:t>
      </w:r>
      <w:r w:rsidR="007C144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frequentare soltanto un corso </w:t>
      </w:r>
      <w:proofErr w:type="spellStart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PoliCollege</w:t>
      </w:r>
      <w:proofErr w:type="spellEnd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.</w:t>
      </w:r>
      <w:r w:rsidR="007C144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Di seguito l’elenco degli 8 corsi erogati nella sessione primaverile. Ciascuno</w:t>
      </w:r>
      <w:r w:rsidR="007C144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dei corsi – con l’eccezione di </w:t>
      </w:r>
      <w:proofErr w:type="spellStart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Food</w:t>
      </w:r>
      <w:proofErr w:type="spellEnd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proofErr w:type="spellStart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Engineering</w:t>
      </w:r>
      <w:proofErr w:type="spellEnd"/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– sarà erogato sia nell’edizione di</w:t>
      </w:r>
    </w:p>
    <w:p w:rsidR="0029619E" w:rsidRPr="00277BE5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Cs/>
          <w:color w:val="000000"/>
          <w:sz w:val="24"/>
          <w:szCs w:val="28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aprile-maggio sia in quella di giugno, e pertanto prevede 60 posti</w:t>
      </w:r>
      <w:r w:rsidR="007C144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in tutto,</w:t>
      </w:r>
      <w:r w:rsidR="007C1449">
        <w:rPr>
          <w:rFonts w:ascii="DejaVuSans-Bold" w:hAnsi="DejaVuSans-Bold" w:cs="DejaVuSans-Bold"/>
          <w:bCs/>
          <w:color w:val="000000"/>
          <w:sz w:val="24"/>
          <w:szCs w:val="28"/>
        </w:rPr>
        <w:t xml:space="preserve"> </w:t>
      </w: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suddivisi in 2 classi da 30 studenti.</w:t>
      </w:r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" w:hAnsi="DejaVuSans" w:cs="DejaVuSans"/>
          <w:color w:val="000000"/>
        </w:rPr>
      </w:pPr>
      <w:r w:rsidRPr="00277BE5">
        <w:rPr>
          <w:rFonts w:ascii="DejaVuSans-Bold" w:hAnsi="DejaVuSans-Bold" w:cs="DejaVuSans-Bold"/>
          <w:bCs/>
          <w:color w:val="000000"/>
          <w:sz w:val="24"/>
          <w:szCs w:val="28"/>
        </w:rPr>
        <w:t>A</w:t>
      </w:r>
      <w:r>
        <w:rPr>
          <w:rFonts w:ascii="DejaVuSans-Oblique" w:hAnsi="DejaVuSans-Oblique" w:cs="DejaVuSans-Oblique"/>
          <w:i/>
          <w:iCs/>
          <w:color w:val="000000"/>
        </w:rPr>
        <w:t xml:space="preserve">lla scoperta dei satelliti: perché orbitano e come osservano la Terra </w:t>
      </w:r>
      <w:r>
        <w:rPr>
          <w:rFonts w:ascii="DejaVuSans" w:hAnsi="DejaVuSans" w:cs="DejaVuSans"/>
          <w:color w:val="000000"/>
        </w:rPr>
        <w:t xml:space="preserve">– prof. Franco </w:t>
      </w:r>
      <w:proofErr w:type="spellStart"/>
      <w:r>
        <w:rPr>
          <w:rFonts w:ascii="DejaVuSans" w:hAnsi="DejaVuSans" w:cs="DejaVuSans"/>
          <w:color w:val="000000"/>
        </w:rPr>
        <w:t>Bernelli</w:t>
      </w:r>
      <w:proofErr w:type="spellEnd"/>
      <w:r w:rsidR="007C1449">
        <w:rPr>
          <w:rFonts w:ascii="DejaVuSans" w:hAnsi="DejaVuSans" w:cs="DejaVuSans"/>
          <w:color w:val="000000"/>
        </w:rPr>
        <w:t xml:space="preserve"> </w:t>
      </w:r>
      <w:r>
        <w:rPr>
          <w:rFonts w:ascii="DejaVuSans" w:hAnsi="DejaVuSans" w:cs="DejaVuSans"/>
          <w:color w:val="000000"/>
        </w:rPr>
        <w:t>Zazzera</w:t>
      </w:r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 xml:space="preserve">Dissesti e frane in un territorio fragile </w:t>
      </w:r>
      <w:r>
        <w:rPr>
          <w:rFonts w:ascii="DejaVuSans" w:hAnsi="DejaVuSans" w:cs="DejaVuSans"/>
          <w:color w:val="000000"/>
          <w:sz w:val="23"/>
          <w:szCs w:val="23"/>
        </w:rPr>
        <w:t>– prof.ssa Donatella Sterpi</w:t>
      </w:r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 xml:space="preserve">Introduzione alla strumentazione biomedica </w:t>
      </w:r>
      <w:r>
        <w:rPr>
          <w:rFonts w:ascii="DejaVuSans" w:hAnsi="DejaVuSans" w:cs="DejaVuSans"/>
          <w:color w:val="000000"/>
          <w:sz w:val="23"/>
          <w:szCs w:val="23"/>
        </w:rPr>
        <w:t xml:space="preserve">– prof.ssa Alessandra </w:t>
      </w:r>
      <w:proofErr w:type="spellStart"/>
      <w:r>
        <w:rPr>
          <w:rFonts w:ascii="DejaVuSans" w:hAnsi="DejaVuSans" w:cs="DejaVuSans"/>
          <w:color w:val="000000"/>
          <w:sz w:val="23"/>
          <w:szCs w:val="23"/>
        </w:rPr>
        <w:t>Pedrocchi</w:t>
      </w:r>
      <w:proofErr w:type="spellEnd"/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 xml:space="preserve">La struttura nascosta di Internet </w:t>
      </w:r>
      <w:r>
        <w:rPr>
          <w:rFonts w:ascii="DejaVuSans" w:hAnsi="DejaVuSans" w:cs="DejaVuSans"/>
          <w:color w:val="000000"/>
          <w:sz w:val="23"/>
          <w:szCs w:val="23"/>
        </w:rPr>
        <w:t>– prof. Antonio Capone</w:t>
      </w:r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 xml:space="preserve">La terra trema: terremoti e costruzioni </w:t>
      </w:r>
      <w:r>
        <w:rPr>
          <w:rFonts w:ascii="DejaVuSans" w:hAnsi="DejaVuSans" w:cs="DejaVuSans"/>
          <w:color w:val="000000"/>
          <w:sz w:val="23"/>
          <w:szCs w:val="23"/>
        </w:rPr>
        <w:t xml:space="preserve">– prof.ssa Chiara </w:t>
      </w:r>
      <w:proofErr w:type="spellStart"/>
      <w:r>
        <w:rPr>
          <w:rFonts w:ascii="DejaVuSans" w:hAnsi="DejaVuSans" w:cs="DejaVuSans"/>
          <w:color w:val="000000"/>
          <w:sz w:val="23"/>
          <w:szCs w:val="23"/>
        </w:rPr>
        <w:t>Smerzini</w:t>
      </w:r>
      <w:proofErr w:type="spellEnd"/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 xml:space="preserve">Modelli matematici per comprendere, simulare, esplorare </w:t>
      </w:r>
      <w:r>
        <w:rPr>
          <w:rFonts w:ascii="DejaVuSans" w:hAnsi="DejaVuSans" w:cs="DejaVuSans"/>
          <w:color w:val="000000"/>
          <w:sz w:val="23"/>
          <w:szCs w:val="23"/>
        </w:rPr>
        <w:t>– prof. Alfio Maria Quarteroni</w:t>
      </w:r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 xml:space="preserve">Perché lo stecco fa impazzire l’ingegnere…Un’introduzione al </w:t>
      </w:r>
      <w:proofErr w:type="spellStart"/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>Food</w:t>
      </w:r>
      <w:proofErr w:type="spellEnd"/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>Engineering</w:t>
      </w:r>
      <w:proofErr w:type="spellEnd"/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 xml:space="preserve"> </w:t>
      </w:r>
      <w:r>
        <w:rPr>
          <w:rFonts w:ascii="DejaVuSans" w:hAnsi="DejaVuSans" w:cs="DejaVuSans"/>
          <w:color w:val="000000"/>
          <w:sz w:val="23"/>
          <w:szCs w:val="23"/>
        </w:rPr>
        <w:t>– prof.</w:t>
      </w:r>
      <w:r w:rsidR="007C1449">
        <w:rPr>
          <w:rFonts w:ascii="DejaVuSans" w:hAnsi="DejaVuSans" w:cs="DejaVuSans"/>
          <w:color w:val="000000"/>
          <w:sz w:val="23"/>
          <w:szCs w:val="23"/>
        </w:rPr>
        <w:t xml:space="preserve"> </w:t>
      </w:r>
      <w:r>
        <w:rPr>
          <w:rFonts w:ascii="DejaVuSans" w:hAnsi="DejaVuSans" w:cs="DejaVuSans"/>
          <w:color w:val="000000"/>
          <w:sz w:val="23"/>
          <w:szCs w:val="23"/>
        </w:rPr>
        <w:t>Luigi De Nardo (erogato solo a giugno)</w:t>
      </w:r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" w:hAnsi="DejaVuSans" w:cs="DejaVuSans"/>
          <w:color w:val="000000"/>
          <w:sz w:val="23"/>
          <w:szCs w:val="23"/>
        </w:rPr>
      </w:pPr>
      <w:r>
        <w:rPr>
          <w:rFonts w:ascii="DejaVuSans-Oblique" w:hAnsi="DejaVuSans-Oblique" w:cs="DejaVuSans-Oblique"/>
          <w:i/>
          <w:iCs/>
          <w:color w:val="000000"/>
          <w:sz w:val="23"/>
          <w:szCs w:val="23"/>
        </w:rPr>
        <w:t xml:space="preserve">Scienza e Tecnologia dei Materiali </w:t>
      </w:r>
      <w:r>
        <w:rPr>
          <w:rFonts w:ascii="DejaVuSans" w:hAnsi="DejaVuSans" w:cs="DejaVuSans"/>
          <w:color w:val="000000"/>
          <w:sz w:val="23"/>
          <w:szCs w:val="23"/>
        </w:rPr>
        <w:t>– prof.ssa Maria Vittoria Diamanti</w:t>
      </w:r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>Tutte le informazioni in dettaglio e le modalità di iscrizione si possono trovare</w:t>
      </w:r>
    </w:p>
    <w:p w:rsidR="0029619E" w:rsidRDefault="0029619E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 xml:space="preserve">sul sito del progetto: </w:t>
      </w:r>
      <w:hyperlink r:id="rId5" w:history="1">
        <w:r w:rsidR="007C1449" w:rsidRPr="00497CB8">
          <w:rPr>
            <w:rStyle w:val="Collegamentoipertestuale"/>
            <w:rFonts w:ascii="DejaVuSans-Bold" w:hAnsi="DejaVuSans-Bold" w:cs="DejaVuSans-Bold"/>
            <w:b/>
            <w:bCs/>
            <w:sz w:val="23"/>
            <w:szCs w:val="23"/>
          </w:rPr>
          <w:t>https://www.policollege.polimi.it</w:t>
        </w:r>
      </w:hyperlink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>.</w:t>
      </w:r>
    </w:p>
    <w:p w:rsidR="007C1449" w:rsidRDefault="007C1449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7C1449">
        <w:rPr>
          <w:rFonts w:ascii="DejaVuSans-Bold" w:hAnsi="DejaVuSans-Bold" w:cs="DejaVuSans-Bold"/>
          <w:bCs/>
          <w:color w:val="000000"/>
          <w:sz w:val="23"/>
          <w:szCs w:val="23"/>
        </w:rPr>
        <w:t>Per assistenza e ulteriori informazioni rivolgersi al</w:t>
      </w: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 xml:space="preserve"> prof. Antonino Distefano </w:t>
      </w:r>
      <w:r w:rsidRPr="007C1449">
        <w:rPr>
          <w:rFonts w:ascii="DejaVuSans-Bold" w:hAnsi="DejaVuSans-Bold" w:cs="DejaVuSans-Bold"/>
          <w:bCs/>
          <w:color w:val="000000"/>
          <w:sz w:val="23"/>
          <w:szCs w:val="23"/>
        </w:rPr>
        <w:t>al seguente indirizzo:</w:t>
      </w:r>
    </w:p>
    <w:p w:rsidR="007C1449" w:rsidRDefault="007C1449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hyperlink r:id="rId6" w:history="1">
        <w:r w:rsidRPr="00497CB8">
          <w:rPr>
            <w:rStyle w:val="Collegamentoipertestuale"/>
            <w:rFonts w:ascii="DejaVuSans-Bold" w:hAnsi="DejaVuSans-Bold" w:cs="DejaVuSans-Bold"/>
            <w:b/>
            <w:bCs/>
            <w:sz w:val="23"/>
            <w:szCs w:val="23"/>
          </w:rPr>
          <w:t>antonio.distefano@itaerferrarin.edu.it</w:t>
        </w:r>
      </w:hyperlink>
    </w:p>
    <w:p w:rsidR="007C1449" w:rsidRDefault="007C1449" w:rsidP="0029619E">
      <w:pPr>
        <w:autoSpaceDE w:val="0"/>
        <w:autoSpaceDN w:val="0"/>
        <w:adjustRightInd w:val="0"/>
        <w:spacing w:before="0" w:line="240" w:lineRule="auto"/>
        <w:ind w:left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bookmarkStart w:id="0" w:name="_GoBack"/>
      <w:bookmarkEnd w:id="0"/>
    </w:p>
    <w:sectPr w:rsidR="007C1449" w:rsidSect="00A131A8">
      <w:pgSz w:w="11906" w:h="16838"/>
      <w:pgMar w:top="397" w:right="454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9E"/>
    <w:rsid w:val="001A2553"/>
    <w:rsid w:val="00277BE5"/>
    <w:rsid w:val="0029619E"/>
    <w:rsid w:val="00315AC3"/>
    <w:rsid w:val="003C1A31"/>
    <w:rsid w:val="00470F31"/>
    <w:rsid w:val="004C6172"/>
    <w:rsid w:val="00504E2E"/>
    <w:rsid w:val="005F6DAF"/>
    <w:rsid w:val="00724C43"/>
    <w:rsid w:val="007775D8"/>
    <w:rsid w:val="007C1449"/>
    <w:rsid w:val="008D1E29"/>
    <w:rsid w:val="008D33A9"/>
    <w:rsid w:val="009D1FC4"/>
    <w:rsid w:val="009D7FB4"/>
    <w:rsid w:val="00A131A8"/>
    <w:rsid w:val="00C73E74"/>
    <w:rsid w:val="00D82E7F"/>
    <w:rsid w:val="00F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76" w:lineRule="auto"/>
        <w:ind w:left="7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C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tonio">
    <w:name w:val="antonio"/>
    <w:basedOn w:val="Normale"/>
    <w:autoRedefine/>
    <w:qFormat/>
    <w:rsid w:val="00724C43"/>
    <w:pPr>
      <w:jc w:val="both"/>
    </w:pPr>
    <w:rPr>
      <w:sz w:val="24"/>
    </w:rPr>
  </w:style>
  <w:style w:type="paragraph" w:customStyle="1" w:styleId="esame">
    <w:name w:val="esame"/>
    <w:basedOn w:val="Normale"/>
    <w:autoRedefine/>
    <w:qFormat/>
    <w:rsid w:val="008D1E29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C1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76" w:lineRule="auto"/>
        <w:ind w:left="7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C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tonio">
    <w:name w:val="antonio"/>
    <w:basedOn w:val="Normale"/>
    <w:autoRedefine/>
    <w:qFormat/>
    <w:rsid w:val="00724C43"/>
    <w:pPr>
      <w:jc w:val="both"/>
    </w:pPr>
    <w:rPr>
      <w:sz w:val="24"/>
    </w:rPr>
  </w:style>
  <w:style w:type="paragraph" w:customStyle="1" w:styleId="esame">
    <w:name w:val="esame"/>
    <w:basedOn w:val="Normale"/>
    <w:autoRedefine/>
    <w:qFormat/>
    <w:rsid w:val="008D1E29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C1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io.distefano@itaerferrarin.edu.it" TargetMode="External"/><Relationship Id="rId5" Type="http://schemas.openxmlformats.org/officeDocument/2006/relationships/hyperlink" Target="https://www.policollege.poli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anto</cp:lastModifiedBy>
  <cp:revision>1</cp:revision>
  <dcterms:created xsi:type="dcterms:W3CDTF">2021-02-22T19:02:00Z</dcterms:created>
  <dcterms:modified xsi:type="dcterms:W3CDTF">2021-02-22T19:14:00Z</dcterms:modified>
</cp:coreProperties>
</file>